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F61C4F" w:rsidRDefault="00100D89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F61C4F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F61C4F">
        <w:rPr>
          <w:rFonts w:ascii="微軟正黑體" w:eastAsia="微軟正黑體" w:hAnsi="微軟正黑體"/>
          <w:b/>
          <w:sz w:val="28"/>
          <w:szCs w:val="28"/>
        </w:rPr>
        <w:t>11</w:t>
      </w:r>
      <w:r w:rsidR="00EB5F69" w:rsidRPr="00F61C4F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EB5F69" w:rsidRPr="00F61C4F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學年度第1學期</w:t>
          </w:r>
        </w:sdtContent>
      </w:sdt>
    </w:p>
    <w:sdt>
      <w:sdtPr>
        <w:rPr>
          <w:rFonts w:ascii="微軟正黑體" w:eastAsia="微軟正黑體" w:hAnsi="微軟正黑體"/>
        </w:rPr>
        <w:tag w:val="goog_rdk_2"/>
        <w:id w:val="1700429252"/>
      </w:sdtPr>
      <w:sdtEndPr/>
      <w:sdtContent>
        <w:p w:rsidR="003455E7" w:rsidRPr="00F61C4F" w:rsidRDefault="007F2328" w:rsidP="004574DA">
          <w:pPr>
            <w:jc w:val="center"/>
            <w:rPr>
              <w:rFonts w:ascii="微軟正黑體" w:eastAsia="微軟正黑體" w:hAnsi="微軟正黑體" w:cs="Gungsuh"/>
              <w:b/>
              <w:sz w:val="28"/>
              <w:szCs w:val="28"/>
            </w:rPr>
          </w:pPr>
          <w:r w:rsidRPr="00F61C4F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F61C4F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4574DA" w:rsidRPr="00F61C4F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F61C4F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B21C0B" w:rsidRPr="00F61C4F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自然</w:t>
          </w:r>
          <w:r w:rsidR="00617F97" w:rsidRPr="00F61C4F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p>
      </w:sdtContent>
    </w:sdt>
    <w:p w:rsidR="003455E7" w:rsidRPr="00F61C4F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F61C4F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F61C4F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F61C4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EB5F69" w:rsidRPr="00F61C4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F61C4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</w:t>
          </w:r>
          <w:r w:rsidR="0051306F" w:rsidRPr="00F61C4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11</w:t>
          </w:r>
          <w:r w:rsidRPr="00F61C4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月  </w:t>
          </w:r>
          <w:r w:rsidR="0051306F" w:rsidRPr="00F61C4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20</w:t>
          </w:r>
          <w:r w:rsidRPr="00F61C4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日(星期 </w:t>
          </w:r>
          <w:r w:rsidR="0051306F" w:rsidRPr="00F61C4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四</w:t>
          </w:r>
          <w:r w:rsidRPr="00F61C4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) </w:t>
          </w:r>
          <w:r w:rsidR="0051306F" w:rsidRPr="00F61C4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8:30</w:t>
          </w:r>
          <w:r w:rsidRPr="00F61C4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~  </w:t>
          </w:r>
          <w:r w:rsidR="0051306F" w:rsidRPr="00F61C4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10:00</w:t>
          </w:r>
          <w:r w:rsidRPr="00F61C4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F61C4F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:rsidR="003455E7" w:rsidRPr="00F61C4F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F61C4F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F61C4F">
            <w:rPr>
              <w:rFonts w:ascii="微軟正黑體" w:eastAsia="微軟正黑體" w:hAnsi="微軟正黑體" w:cs="SimSun"/>
            </w:rPr>
            <w:t>地點︰</w:t>
          </w:r>
        </w:sdtContent>
      </w:sdt>
      <w:r w:rsidRPr="00F61C4F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</w:t>
      </w:r>
      <w:r w:rsidR="0051306F" w:rsidRPr="00F61C4F"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國中部教師  辦公室(3F) </w:t>
      </w:r>
      <w:r w:rsidRPr="00F61C4F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</w:t>
      </w:r>
    </w:p>
    <w:p w:rsidR="003455E7" w:rsidRPr="00F61C4F" w:rsidRDefault="00617F97" w:rsidP="00420444">
      <w:pPr>
        <w:rPr>
          <w:rFonts w:ascii="微軟正黑體" w:eastAsia="微軟正黑體" w:hAnsi="微軟正黑體"/>
        </w:rPr>
      </w:pPr>
      <w:r w:rsidRPr="00F61C4F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F61C4F">
            <w:rPr>
              <w:rFonts w:ascii="微軟正黑體" w:eastAsia="微軟正黑體" w:hAnsi="微軟正黑體" w:cs="Gungsuh"/>
            </w:rPr>
            <w:t>簽到表</w:t>
          </w:r>
          <w:r w:rsidR="00EE3577" w:rsidRPr="00F61C4F">
            <w:rPr>
              <w:rFonts w:ascii="微軟正黑體" w:eastAsia="微軟正黑體" w:hAnsi="微軟正黑體" w:cs="Gungsuh" w:hint="eastAsia"/>
            </w:rPr>
            <w:t>：</w:t>
          </w:r>
          <w:r w:rsidRPr="00F61C4F">
            <w:rPr>
              <w:rFonts w:ascii="微軟正黑體" w:eastAsia="微軟正黑體" w:hAnsi="微軟正黑體" w:cs="Gungsuh"/>
            </w:rPr>
            <w:t>如附件</w:t>
          </w:r>
        </w:sdtContent>
      </w:sdt>
    </w:p>
    <w:p w:rsidR="003455E7" w:rsidRPr="00F61C4F" w:rsidRDefault="00617F97" w:rsidP="00420444">
      <w:pPr>
        <w:rPr>
          <w:rFonts w:ascii="微軟正黑體" w:eastAsia="微軟正黑體" w:hAnsi="微軟正黑體" w:cs="標楷體"/>
        </w:rPr>
      </w:pPr>
      <w:r w:rsidRPr="00F61C4F">
        <w:rPr>
          <w:rFonts w:ascii="微軟正黑體" w:eastAsia="微軟正黑體" w:hAnsi="微軟正黑體" w:cs="標楷體"/>
        </w:rPr>
        <w:t>四、主席致詞</w:t>
      </w:r>
    </w:p>
    <w:p w:rsidR="003455E7" w:rsidRPr="00F61C4F" w:rsidRDefault="00617F97" w:rsidP="00420444">
      <w:pPr>
        <w:rPr>
          <w:rFonts w:ascii="微軟正黑體" w:eastAsia="微軟正黑體" w:hAnsi="微軟正黑體" w:cs="標楷體"/>
        </w:rPr>
      </w:pPr>
      <w:r w:rsidRPr="00F61C4F">
        <w:rPr>
          <w:rFonts w:ascii="微軟正黑體" w:eastAsia="微軟正黑體" w:hAnsi="微軟正黑體" w:cs="標楷體"/>
        </w:rPr>
        <w:t>五、宣導事項：如議程</w:t>
      </w:r>
    </w:p>
    <w:p w:rsidR="003455E7" w:rsidRPr="00F61C4F" w:rsidRDefault="00617F97" w:rsidP="00420444">
      <w:pPr>
        <w:rPr>
          <w:rFonts w:ascii="微軟正黑體" w:eastAsia="微軟正黑體" w:hAnsi="微軟正黑體" w:cs="標楷體"/>
        </w:rPr>
      </w:pPr>
      <w:r w:rsidRPr="00F61C4F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F61C4F" w:rsidTr="00420444">
        <w:trPr>
          <w:trHeight w:val="1709"/>
        </w:trPr>
        <w:tc>
          <w:tcPr>
            <w:tcW w:w="5235" w:type="dxa"/>
          </w:tcPr>
          <w:p w:rsidR="003455E7" w:rsidRPr="00F61C4F" w:rsidRDefault="008D1118" w:rsidP="00420444">
            <w:pPr>
              <w:rPr>
                <w:rFonts w:ascii="微軟正黑體" w:eastAsia="微軟正黑體" w:hAnsi="微軟正黑體" w:cs="標楷體"/>
              </w:rPr>
            </w:pPr>
            <w:r w:rsidRPr="00F61C4F"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187065" cy="23907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27910198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455E7" w:rsidRPr="00F61C4F" w:rsidRDefault="008D1118" w:rsidP="00420444">
            <w:pPr>
              <w:rPr>
                <w:rFonts w:ascii="微軟正黑體" w:eastAsia="微軟正黑體" w:hAnsi="微軟正黑體" w:cs="標楷體"/>
              </w:rPr>
            </w:pPr>
            <w:r w:rsidRPr="00F61C4F"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376295" cy="2533015"/>
                  <wp:effectExtent l="0" t="0" r="0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27910196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253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5E7" w:rsidRPr="00F61C4F" w:rsidRDefault="003455E7" w:rsidP="00420444">
      <w:pPr>
        <w:rPr>
          <w:rFonts w:ascii="微軟正黑體" w:eastAsia="微軟正黑體" w:hAnsi="微軟正黑體" w:cs="標楷體"/>
        </w:rPr>
      </w:pPr>
    </w:p>
    <w:p w:rsidR="003455E7" w:rsidRPr="00F61C4F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F61C4F">
        <w:rPr>
          <w:rFonts w:ascii="微軟正黑體" w:eastAsia="微軟正黑體" w:hAnsi="微軟正黑體" w:cs="標楷體"/>
        </w:rPr>
        <w:t>七</w:t>
      </w:r>
      <w:r w:rsidR="00593C19" w:rsidRPr="00F61C4F">
        <w:rPr>
          <w:rFonts w:ascii="微軟正黑體" w:eastAsia="微軟正黑體" w:hAnsi="微軟正黑體" w:cs="標楷體"/>
          <w:color w:val="000000"/>
        </w:rPr>
        <w:t>、討論</w:t>
      </w:r>
      <w:r w:rsidR="00593C19" w:rsidRPr="00F61C4F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C729CC" w:rsidRPr="00F61C4F" w:rsidTr="009D3872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F61C4F" w:rsidRDefault="009D3872" w:rsidP="006D44E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校內國中數學及自然科競賽預訂於12/1</w:t>
            </w:r>
            <w:r w:rsidR="001C437D" w:rsidRPr="00F61C4F">
              <w:rPr>
                <w:rFonts w:ascii="微軟正黑體" w:eastAsia="微軟正黑體" w:hAnsi="微軟正黑體" w:cs="標楷體" w:hint="eastAsia"/>
                <w:color w:val="000000"/>
              </w:rPr>
              <w:t>2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(五)第六、七節辦理</w:t>
            </w:r>
          </w:p>
        </w:tc>
      </w:tr>
      <w:tr w:rsidR="00C729CC" w:rsidRPr="00F61C4F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729CC" w:rsidRPr="00F61C4F" w:rsidRDefault="00C729CC" w:rsidP="00C729C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51306F" w:rsidRPr="00F61C4F">
              <w:rPr>
                <w:rFonts w:ascii="微軟正黑體" w:eastAsia="微軟正黑體" w:hAnsi="微軟正黑體" w:cs="微軟正黑體"/>
              </w:rPr>
              <w:t>決議：按照流程辦理</w:t>
            </w:r>
          </w:p>
        </w:tc>
      </w:tr>
      <w:tr w:rsidR="00817CDD" w:rsidRPr="00F61C4F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9D3872" w:rsidRPr="00F61C4F" w:rsidRDefault="009D3872" w:rsidP="009D3872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指導競賽加班費申請方式再次說明(附件</w:t>
            </w:r>
            <w:r w:rsidR="001C437D" w:rsidRPr="00F61C4F">
              <w:rPr>
                <w:rFonts w:ascii="微軟正黑體" w:eastAsia="微軟正黑體" w:hAnsi="微軟正黑體" w:cs="標楷體" w:hint="eastAsia"/>
                <w:color w:val="000000"/>
              </w:rPr>
              <w:t>三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)：</w:t>
            </w:r>
          </w:p>
          <w:p w:rsidR="009D3872" w:rsidRPr="00F61C4F" w:rsidRDefault="009D3872" w:rsidP="009D3872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1.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ab/>
              <w:t>自110學年度起，指導競賽申請補休/加班費，皆須至差勤系統申請加班並打退卡。</w:t>
            </w:r>
          </w:p>
          <w:p w:rsidR="009D3872" w:rsidRPr="00F61C4F" w:rsidRDefault="009D3872" w:rsidP="009D3872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2.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ab/>
              <w:t>請於本次教學研究會確認明年度(11</w:t>
            </w:r>
            <w:r w:rsidR="001C437D" w:rsidRPr="00F61C4F">
              <w:rPr>
                <w:rFonts w:ascii="微軟正黑體" w:eastAsia="微軟正黑體" w:hAnsi="微軟正黑體" w:cs="標楷體" w:hint="eastAsia"/>
                <w:color w:val="000000"/>
              </w:rPr>
              <w:t>5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學年)高雄市數學及自然科學競賽指導教師名單。</w:t>
            </w:r>
          </w:p>
          <w:p w:rsidR="009D3872" w:rsidRPr="00F61C4F" w:rsidRDefault="009D3872" w:rsidP="009D3872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3.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ab/>
              <w:t>請特別注意，在差勤系統上申請加班打退卡後，會產生補休時數，但，使用補休後就不得申</w:t>
            </w:r>
          </w:p>
          <w:p w:rsidR="009D3872" w:rsidRPr="00F61C4F" w:rsidRDefault="009D3872" w:rsidP="009D3872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 xml:space="preserve">    請該時段加班費。要申請加班費的老師，切勿使用該時段補休。</w:t>
            </w:r>
          </w:p>
          <w:p w:rsidR="00817CDD" w:rsidRPr="00F61C4F" w:rsidRDefault="009D3872" w:rsidP="009D3872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4.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ab/>
              <w:t>「加班費申請打退卡指引」請參閱設備組附件。</w:t>
            </w:r>
          </w:p>
        </w:tc>
      </w:tr>
      <w:tr w:rsidR="00231CA7" w:rsidRPr="00F61C4F" w:rsidTr="00231CA7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231CA7" w:rsidRPr="00F61C4F" w:rsidRDefault="00231CA7" w:rsidP="00231CA7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51306F" w:rsidRPr="00F61C4F">
              <w:rPr>
                <w:rFonts w:ascii="微軟正黑體" w:eastAsia="微軟正黑體" w:hAnsi="微軟正黑體" w:cs="微軟正黑體"/>
              </w:rPr>
              <w:t>決議：指導老師：明賢、文杰、阿保</w:t>
            </w:r>
          </w:p>
        </w:tc>
      </w:tr>
      <w:tr w:rsidR="00231CA7" w:rsidRPr="00F61C4F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31CA7" w:rsidRPr="00F61C4F" w:rsidRDefault="001C437D" w:rsidP="00B84B49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校內科展收件截止日期暫訂在11/</w:t>
            </w:r>
            <w:r w:rsidRPr="00F61C4F">
              <w:rPr>
                <w:rFonts w:ascii="微軟正黑體" w:eastAsia="微軟正黑體" w:hAnsi="微軟正黑體" w:cs="標楷體"/>
                <w:color w:val="000000"/>
              </w:rPr>
              <w:t>07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 xml:space="preserve">(星期五)中午前(期初已公布於學校網頁)，請有意參與的競賽隊伍在競賽規定繳件期限內，繳交科展計畫書紙本一份與pdf檔案。（報名及檔案繳交連結: </w:t>
            </w:r>
            <w:r w:rsidRPr="00F61C4F">
              <w:rPr>
                <w:rFonts w:ascii="微軟正黑體" w:eastAsia="微軟正黑體" w:hAnsi="微軟正黑體" w:cs="標楷體"/>
                <w:bCs/>
                <w:color w:val="000000"/>
              </w:rPr>
              <w:t>https://forms.gle/r2zvzJkMhShGsx5KA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）。(設備組)</w:t>
            </w:r>
          </w:p>
        </w:tc>
      </w:tr>
      <w:tr w:rsidR="00C9017F" w:rsidRPr="00F61C4F" w:rsidTr="001C437D">
        <w:trPr>
          <w:trHeight w:val="400"/>
        </w:trPr>
        <w:tc>
          <w:tcPr>
            <w:tcW w:w="10768" w:type="dxa"/>
            <w:shd w:val="clear" w:color="auto" w:fill="auto"/>
          </w:tcPr>
          <w:p w:rsidR="00C9017F" w:rsidRPr="00F61C4F" w:rsidRDefault="00C9017F" w:rsidP="00C9017F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51306F" w:rsidRPr="00F61C4F">
              <w:rPr>
                <w:rFonts w:ascii="微軟正黑體" w:eastAsia="微軟正黑體" w:hAnsi="微軟正黑體" w:cs="微軟正黑體"/>
              </w:rPr>
              <w:t>決議：鼓勵學生踴躍參加競賽</w:t>
            </w:r>
          </w:p>
        </w:tc>
      </w:tr>
      <w:tr w:rsidR="001C437D" w:rsidRPr="00F61C4F" w:rsidTr="001C437D">
        <w:trPr>
          <w:trHeight w:val="400"/>
        </w:trPr>
        <w:tc>
          <w:tcPr>
            <w:tcW w:w="10768" w:type="dxa"/>
            <w:shd w:val="clear" w:color="auto" w:fill="E7E6E6" w:themeFill="background2"/>
          </w:tcPr>
          <w:p w:rsidR="001C437D" w:rsidRPr="00F61C4F" w:rsidRDefault="001C437D" w:rsidP="001C437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請依據本校國中部學生 114 年教育會考的學生成績報告與各科分項能力通過率分析，檢視學生在各能力之作答表現，作為調整教學方針的參考依據，並採取適當的因應策略，針對較弱的能力進行補強，避免學生上課睡覺之情況。</w:t>
            </w:r>
          </w:p>
        </w:tc>
      </w:tr>
      <w:tr w:rsidR="001C437D" w:rsidRPr="00F61C4F" w:rsidTr="001C437D">
        <w:trPr>
          <w:trHeight w:val="400"/>
        </w:trPr>
        <w:tc>
          <w:tcPr>
            <w:tcW w:w="10768" w:type="dxa"/>
            <w:shd w:val="clear" w:color="auto" w:fill="auto"/>
          </w:tcPr>
          <w:p w:rsidR="001C437D" w:rsidRPr="00F61C4F" w:rsidRDefault="001C437D" w:rsidP="008D111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8D1118" w:rsidRPr="00F61C4F">
              <w:rPr>
                <w:rFonts w:ascii="微軟正黑體" w:eastAsia="微軟正黑體" w:hAnsi="微軟正黑體" w:cs="標楷體" w:hint="eastAsia"/>
                <w:color w:val="000000"/>
              </w:rPr>
              <w:t>決議:上課盡量增加影片或動畫的搭配，減少講授的內容，提升學生的學習興趣。</w:t>
            </w:r>
          </w:p>
        </w:tc>
      </w:tr>
      <w:tr w:rsidR="001C437D" w:rsidRPr="00F61C4F" w:rsidTr="001C437D">
        <w:trPr>
          <w:trHeight w:val="400"/>
        </w:trPr>
        <w:tc>
          <w:tcPr>
            <w:tcW w:w="10768" w:type="dxa"/>
            <w:shd w:val="clear" w:color="auto" w:fill="E7E6E6" w:themeFill="background2"/>
          </w:tcPr>
          <w:p w:rsidR="001C437D" w:rsidRPr="00F61C4F" w:rsidRDefault="001C437D" w:rsidP="001C437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lastRenderedPageBreak/>
              <w:t xml:space="preserve">請進行專業對話或生涯發展相關內容，並明列於會議紀錄。各科討論議題若有詳細列出討論內  </w:t>
            </w:r>
          </w:p>
          <w:p w:rsidR="001C437D" w:rsidRPr="00F61C4F" w:rsidRDefault="001C437D" w:rsidP="001C437D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容則可列為專業對話，若只是簡單提問可逕洽各處室承辦人，以免延誤處理時機。</w:t>
            </w:r>
          </w:p>
        </w:tc>
      </w:tr>
      <w:tr w:rsidR="001C437D" w:rsidRPr="00F61C4F" w:rsidTr="00C9017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1C437D" w:rsidRPr="00F61C4F" w:rsidRDefault="001C437D" w:rsidP="001C437D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</w:p>
          <w:p w:rsidR="00F05988" w:rsidRPr="00F61C4F" w:rsidRDefault="0051306F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我們這次來</w:t>
            </w:r>
            <w:r w:rsidR="00F05988" w:rsidRPr="00F61C4F">
              <w:rPr>
                <w:rFonts w:ascii="微軟正黑體" w:eastAsia="微軟正黑體" w:hAnsi="微軟正黑體" w:cs="標楷體" w:hint="eastAsia"/>
                <w:color w:val="000000"/>
              </w:rPr>
              <w:t>進行一下專業對話，</w:t>
            </w:r>
            <w:r w:rsidR="00F00C49" w:rsidRPr="00F61C4F">
              <w:rPr>
                <w:rFonts w:ascii="微軟正黑體" w:eastAsia="微軟正黑體" w:hAnsi="微軟正黑體" w:cs="標楷體" w:hint="eastAsia"/>
                <w:color w:val="000000"/>
              </w:rPr>
              <w:t>題目是: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「花蓮馬太鞍溪堰塞湖」事件</w:t>
            </w:r>
            <w:r w:rsidR="00F05988" w:rsidRPr="00F61C4F">
              <w:rPr>
                <w:rFonts w:ascii="微軟正黑體" w:eastAsia="微軟正黑體" w:hAnsi="微軟正黑體" w:cs="標楷體" w:hint="eastAsia"/>
                <w:color w:val="000000"/>
              </w:rPr>
              <w:t>中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，</w:t>
            </w:r>
            <w:r w:rsidR="00F00C49" w:rsidRPr="00F61C4F">
              <w:rPr>
                <w:rFonts w:ascii="微軟正黑體" w:eastAsia="微軟正黑體" w:hAnsi="微軟正黑體" w:cs="標楷體" w:hint="eastAsia"/>
                <w:color w:val="000000"/>
              </w:rPr>
              <w:t>光復鄉湧入大量的黑色泥巴，</w:t>
            </w:r>
            <w:r w:rsidR="00F05988" w:rsidRPr="00F61C4F">
              <w:rPr>
                <w:rFonts w:ascii="微軟正黑體" w:eastAsia="微軟正黑體" w:hAnsi="微軟正黑體" w:cs="標楷體" w:hint="eastAsia"/>
                <w:color w:val="000000"/>
              </w:rPr>
              <w:t>「為什麼</w:t>
            </w:r>
            <w:r w:rsidR="00F00C49" w:rsidRPr="00F61C4F">
              <w:rPr>
                <w:rFonts w:ascii="微軟正黑體" w:eastAsia="微軟正黑體" w:hAnsi="微軟正黑體" w:cs="標楷體" w:hint="eastAsia"/>
                <w:color w:val="000000"/>
              </w:rPr>
              <w:t>偃塞湖裡</w:t>
            </w:r>
            <w:r w:rsidR="00F05988" w:rsidRPr="00F61C4F">
              <w:rPr>
                <w:rFonts w:ascii="微軟正黑體" w:eastAsia="微軟正黑體" w:hAnsi="微軟正黑體" w:cs="標楷體" w:hint="eastAsia"/>
                <w:color w:val="000000"/>
              </w:rPr>
              <w:t>都是黑色泥巴</w:t>
            </w:r>
            <w:r w:rsidR="00F00C49" w:rsidRPr="00F61C4F">
              <w:rPr>
                <w:rFonts w:ascii="微軟正黑體" w:eastAsia="微軟正黑體" w:hAnsi="微軟正黑體" w:cs="標楷體" w:hint="eastAsia"/>
                <w:color w:val="000000"/>
              </w:rPr>
              <w:t>呢</w:t>
            </w:r>
            <w:r w:rsidR="00F05988" w:rsidRPr="00F61C4F">
              <w:rPr>
                <w:rFonts w:ascii="微軟正黑體" w:eastAsia="微軟正黑體" w:hAnsi="微軟正黑體" w:cs="標楷體" w:hint="eastAsia"/>
                <w:color w:val="000000"/>
              </w:rPr>
              <w:t>？」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這其實跟山體的岩層組成、土壤類型、腐植質含量、以及大量泥沙被水攪動後的化學反應有關。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為什麼</w:t>
            </w:r>
            <w:r w:rsidR="008D1118" w:rsidRPr="00F61C4F">
              <w:rPr>
                <w:rFonts w:ascii="微軟正黑體" w:eastAsia="微軟正黑體" w:hAnsi="微軟正黑體" w:cs="標楷體" w:hint="eastAsia"/>
                <w:color w:val="000000"/>
              </w:rPr>
              <w:t>沉積物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變成黑色？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1. 花蓮山區的土壤本來就含大量「有機質」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花蓮馬太鞍溪上游多是林地，森林地表有厚厚的落葉、腐植層。豪雨把這些 腐植質（有機物） 一起沖進溪裡後，泥水就會呈現 深褐、黑褐甚至接近黑色。就像把土壤和枯葉一起丟到水裡攪一攪，水會變深色。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2. 山崩帶出的黑色頁岩、板岩粉末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花蓮很多山由 變質岩（尤其是黑色頁岩、板岩） 組成。這些岩石一旦崩塌、破碎後被水帶走，就會把大量深灰、黑色的「細粉」沖進河裡，讓泥水看起來更黑。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3. 泥水濃度高，光幾乎進不去，看起來就全黑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堰塞湖潰決後，水中泥沙量非常高（濃度幾乎是「土石流等級」）。濁度越高 → 能穿透的光越少 → 顏色就越接近黑色。這不是乾淨的「水 + 一點泥沙」，而是「泥 + 一點水」。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4. 缺氧環境會讓水更黑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堰塞湖在形成期間，水體是靜止、封閉的。大量植物、樹根、土壤被埋在水裡腐爛，會造成：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ab/>
              <w:t>•缺氧（厭氧環境）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ab/>
              <w:t>•腐敗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ab/>
              <w:t>•釋出深色的「腐植酸」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這會讓水看起來像黑水湯。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5. 洪水帶出河床深層的「黑泥」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強降雨＋潰壩的力量會把河床底層的黑色沉積物一起沖出來。這些沉積物平常在底部，不會露出來，除非遇到像這次這種破壞性事件。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Segoe UI Symbol" w:eastAsia="微軟正黑體" w:hAnsi="Segoe UI Symbol" w:cs="Segoe UI Symbol"/>
                <w:color w:val="000000"/>
              </w:rPr>
              <w:t>⭐</w:t>
            </w:r>
            <w:r w:rsidRPr="00F61C4F">
              <w:rPr>
                <w:rFonts w:ascii="微軟正黑體" w:eastAsia="微軟正黑體" w:hAnsi="微軟正黑體" w:cs="標楷體"/>
                <w:color w:val="000000"/>
              </w:rPr>
              <w:t xml:space="preserve"> </w:t>
            </w: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用一句話總結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因為是「有機腐植質 + 變質岩粉末 + 高濃度泥沙＋缺氧腐敗」混合的結果，才會呈現黑色泥漿。</w:t>
            </w:r>
          </w:p>
          <w:p w:rsidR="00F05988" w:rsidRPr="00F61C4F" w:rsidRDefault="00F05988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61C4F">
              <w:rPr>
                <w:rFonts w:ascii="微軟正黑體" w:eastAsia="微軟正黑體" w:hAnsi="微軟正黑體" w:cs="標楷體" w:hint="eastAsia"/>
                <w:color w:val="000000"/>
              </w:rPr>
              <w:t>不是單純的泥水，而是複合性的「山崩土石＋腐植＋岩屑」一起被沖下來。</w:t>
            </w:r>
          </w:p>
          <w:p w:rsidR="0051306F" w:rsidRPr="00F61C4F" w:rsidRDefault="0051306F" w:rsidP="00F05988">
            <w:pPr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</w:tbl>
    <w:p w:rsidR="006C1B40" w:rsidRPr="00F61C4F" w:rsidRDefault="006C1B40" w:rsidP="00420444">
      <w:pPr>
        <w:rPr>
          <w:rFonts w:ascii="微軟正黑體" w:eastAsia="微軟正黑體" w:hAnsi="微軟正黑體" w:cs="標楷體"/>
        </w:rPr>
      </w:pPr>
      <w:bookmarkStart w:id="0" w:name="_heading=h.gjdgxs" w:colFirst="0" w:colLast="0"/>
      <w:bookmarkEnd w:id="0"/>
      <w:r w:rsidRPr="00F61C4F">
        <w:rPr>
          <w:rFonts w:ascii="微軟正黑體" w:eastAsia="微軟正黑體" w:hAnsi="微軟正黑體" w:cs="標楷體" w:hint="eastAsia"/>
        </w:rPr>
        <w:t>提醒：依期初課發會內容，本學期課程評鑑表(表5)請於12/01前填寫上傳，以便後續彙整，謝謝！</w:t>
      </w:r>
    </w:p>
    <w:p w:rsidR="00E526F5" w:rsidRPr="00F61C4F" w:rsidRDefault="00E526F5" w:rsidP="00420444">
      <w:pPr>
        <w:rPr>
          <w:rFonts w:ascii="微軟正黑體" w:eastAsia="微軟正黑體" w:hAnsi="微軟正黑體" w:cs="標楷體"/>
        </w:rPr>
      </w:pPr>
    </w:p>
    <w:p w:rsidR="003455E7" w:rsidRPr="00F61C4F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F61C4F">
        <w:rPr>
          <w:rFonts w:ascii="微軟正黑體" w:eastAsia="微軟正黑體" w:hAnsi="微軟正黑體" w:cs="標楷體" w:hint="eastAsia"/>
        </w:rPr>
        <w:t>八</w:t>
      </w:r>
      <w:r w:rsidR="00617F97" w:rsidRPr="00F61C4F">
        <w:rPr>
          <w:rFonts w:ascii="微軟正黑體" w:eastAsia="微軟正黑體" w:hAnsi="微軟正黑體" w:cs="標楷體"/>
        </w:rPr>
        <w:t>、臨時動議或其他對學校建議</w:t>
      </w:r>
      <w:r w:rsidR="003C6C15" w:rsidRPr="00F61C4F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F61C4F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F61C4F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F61C4F">
              <w:rPr>
                <w:rFonts w:ascii="Segoe UI Symbol" w:eastAsia="微軟正黑體" w:hAnsi="Segoe UI Symbol" w:cs="Segoe UI Symbol"/>
              </w:rPr>
              <w:t>⯄</w:t>
            </w:r>
            <w:r w:rsidRPr="00F61C4F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F61C4F" w:rsidRDefault="0051306F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F61C4F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F61C4F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Pr="00F61C4F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F61C4F">
              <w:rPr>
                <w:rFonts w:ascii="Segoe UI Symbol" w:eastAsia="微軟正黑體" w:hAnsi="Segoe UI Symbol" w:cs="Segoe UI Symbol"/>
              </w:rPr>
              <w:t>⯄</w:t>
            </w:r>
            <w:r w:rsidRPr="00F61C4F">
              <w:rPr>
                <w:rFonts w:ascii="微軟正黑體" w:eastAsia="微軟正黑體" w:hAnsi="微軟正黑體" w:cs="標楷體"/>
              </w:rPr>
              <w:t>建議</w:t>
            </w:r>
          </w:p>
          <w:p w:rsidR="00420444" w:rsidRPr="00F61C4F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F61C4F">
              <w:rPr>
                <w:rFonts w:ascii="微軟正黑體" w:eastAsia="微軟正黑體" w:hAnsi="微軟正黑體" w:cs="標楷體"/>
              </w:rPr>
              <w:t>(僅告知</w:t>
            </w:r>
            <w:r w:rsidRPr="00F61C4F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F61C4F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44" w:rsidRPr="00F61C4F" w:rsidRDefault="0051306F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F61C4F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F61C4F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Pr="00F61C4F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F61C4F">
              <w:rPr>
                <w:rFonts w:ascii="Segoe UI Symbol" w:eastAsia="微軟正黑體" w:hAnsi="Segoe UI Symbol" w:cs="Segoe UI Symbol"/>
              </w:rPr>
              <w:t>⯄</w:t>
            </w:r>
            <w:r w:rsidRPr="00F61C4F">
              <w:rPr>
                <w:rFonts w:ascii="微軟正黑體" w:eastAsia="微軟正黑體" w:hAnsi="微軟正黑體" w:cs="標楷體"/>
              </w:rPr>
              <w:t>建議或提案</w:t>
            </w:r>
          </w:p>
          <w:p w:rsidR="00420444" w:rsidRPr="00F61C4F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F61C4F">
              <w:rPr>
                <w:rFonts w:ascii="微軟正黑體" w:eastAsia="微軟正黑體" w:hAnsi="微軟正黑體" w:cs="標楷體"/>
              </w:rPr>
              <w:lastRenderedPageBreak/>
              <w:t>(</w:t>
            </w:r>
            <w:r w:rsidRPr="00F61C4F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F61C4F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420444" w:rsidRPr="00F61C4F" w:rsidRDefault="0051306F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F61C4F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lastRenderedPageBreak/>
              <w:t>無</w:t>
            </w:r>
          </w:p>
        </w:tc>
      </w:tr>
    </w:tbl>
    <w:p w:rsidR="003C6C15" w:rsidRPr="00F61C4F" w:rsidRDefault="003C6C15" w:rsidP="00420444">
      <w:pPr>
        <w:rPr>
          <w:rFonts w:ascii="微軟正黑體" w:eastAsia="微軟正黑體" w:hAnsi="微軟正黑體" w:cs="標楷體"/>
        </w:rPr>
      </w:pPr>
    </w:p>
    <w:p w:rsidR="003455E7" w:rsidRPr="007875F3" w:rsidRDefault="00742111" w:rsidP="00420444">
      <w:pPr>
        <w:rPr>
          <w:rFonts w:ascii="微軟正黑體" w:eastAsia="微軟正黑體" w:hAnsi="微軟正黑體"/>
        </w:rPr>
      </w:pPr>
      <w:r w:rsidRPr="00F61C4F">
        <w:rPr>
          <w:rFonts w:ascii="微軟正黑體" w:eastAsia="微軟正黑體" w:hAnsi="微軟正黑體" w:cs="標楷體" w:hint="eastAsia"/>
        </w:rPr>
        <w:t>九</w:t>
      </w:r>
      <w:r w:rsidR="00617F97" w:rsidRPr="00F61C4F">
        <w:rPr>
          <w:rFonts w:ascii="微軟正黑體" w:eastAsia="微軟正黑體" w:hAnsi="微軟正黑體" w:cs="標楷體"/>
        </w:rPr>
        <w:t>、散會</w:t>
      </w:r>
      <w:bookmarkStart w:id="1" w:name="_GoBack"/>
      <w:bookmarkEnd w:id="1"/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89" w:rsidRDefault="00100D89" w:rsidP="00420444">
      <w:r>
        <w:separator/>
      </w:r>
    </w:p>
  </w:endnote>
  <w:endnote w:type="continuationSeparator" w:id="0">
    <w:p w:rsidR="00100D89" w:rsidRDefault="00100D89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89" w:rsidRDefault="00100D89" w:rsidP="00420444">
      <w:r>
        <w:separator/>
      </w:r>
    </w:p>
  </w:footnote>
  <w:footnote w:type="continuationSeparator" w:id="0">
    <w:p w:rsidR="00100D89" w:rsidRDefault="00100D89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A4A62"/>
    <w:rsid w:val="000D6C7E"/>
    <w:rsid w:val="000F5333"/>
    <w:rsid w:val="00100D89"/>
    <w:rsid w:val="001853C2"/>
    <w:rsid w:val="001B0B17"/>
    <w:rsid w:val="001B6CCC"/>
    <w:rsid w:val="001C437D"/>
    <w:rsid w:val="00207CD4"/>
    <w:rsid w:val="00231CA7"/>
    <w:rsid w:val="00250765"/>
    <w:rsid w:val="00251EDF"/>
    <w:rsid w:val="0027465A"/>
    <w:rsid w:val="002F6C39"/>
    <w:rsid w:val="00331506"/>
    <w:rsid w:val="003455E7"/>
    <w:rsid w:val="00395346"/>
    <w:rsid w:val="003B6044"/>
    <w:rsid w:val="003C6C15"/>
    <w:rsid w:val="00406F34"/>
    <w:rsid w:val="00417A10"/>
    <w:rsid w:val="00420444"/>
    <w:rsid w:val="004574DA"/>
    <w:rsid w:val="004C7A56"/>
    <w:rsid w:val="0051306F"/>
    <w:rsid w:val="0051436B"/>
    <w:rsid w:val="0057077E"/>
    <w:rsid w:val="00593C19"/>
    <w:rsid w:val="005B5C9A"/>
    <w:rsid w:val="005D5F49"/>
    <w:rsid w:val="00604D88"/>
    <w:rsid w:val="00617F97"/>
    <w:rsid w:val="00662C2D"/>
    <w:rsid w:val="00677E44"/>
    <w:rsid w:val="006C1B40"/>
    <w:rsid w:val="006D44EA"/>
    <w:rsid w:val="0071578F"/>
    <w:rsid w:val="0072013F"/>
    <w:rsid w:val="00723313"/>
    <w:rsid w:val="00723E75"/>
    <w:rsid w:val="00742111"/>
    <w:rsid w:val="007875F3"/>
    <w:rsid w:val="007A07C8"/>
    <w:rsid w:val="007E3BFD"/>
    <w:rsid w:val="007F2328"/>
    <w:rsid w:val="00813305"/>
    <w:rsid w:val="00817CDD"/>
    <w:rsid w:val="008D1118"/>
    <w:rsid w:val="00913E01"/>
    <w:rsid w:val="00964D52"/>
    <w:rsid w:val="00983449"/>
    <w:rsid w:val="00986997"/>
    <w:rsid w:val="009C2485"/>
    <w:rsid w:val="009D3872"/>
    <w:rsid w:val="00AA3285"/>
    <w:rsid w:val="00AC1824"/>
    <w:rsid w:val="00AD72A0"/>
    <w:rsid w:val="00B16F79"/>
    <w:rsid w:val="00B21C0B"/>
    <w:rsid w:val="00B22ED5"/>
    <w:rsid w:val="00B84B49"/>
    <w:rsid w:val="00BD048B"/>
    <w:rsid w:val="00C22A92"/>
    <w:rsid w:val="00C729CC"/>
    <w:rsid w:val="00C9017F"/>
    <w:rsid w:val="00C96EF9"/>
    <w:rsid w:val="00DD3ECE"/>
    <w:rsid w:val="00DE1D08"/>
    <w:rsid w:val="00E4120D"/>
    <w:rsid w:val="00E526F5"/>
    <w:rsid w:val="00E719C6"/>
    <w:rsid w:val="00EB5F69"/>
    <w:rsid w:val="00ED2FAF"/>
    <w:rsid w:val="00EE1619"/>
    <w:rsid w:val="00EE3577"/>
    <w:rsid w:val="00F00C49"/>
    <w:rsid w:val="00F018BD"/>
    <w:rsid w:val="00F05988"/>
    <w:rsid w:val="00F61C4F"/>
    <w:rsid w:val="00F66B98"/>
    <w:rsid w:val="00F766C4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C96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E4B521-69AB-40A7-A11D-226EA86A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6</cp:revision>
  <dcterms:created xsi:type="dcterms:W3CDTF">2025-11-19T08:25:00Z</dcterms:created>
  <dcterms:modified xsi:type="dcterms:W3CDTF">2025-11-28T07:57:00Z</dcterms:modified>
</cp:coreProperties>
</file>